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line="207" w:lineRule="auto"/>
        <w:rPr>
          <w:rFonts w:ascii="黑体" w:hAnsi="黑体" w:eastAsia="黑体" w:cs="新宋体"/>
          <w:spacing w:val="-8"/>
          <w:sz w:val="28"/>
          <w:szCs w:val="28"/>
        </w:rPr>
      </w:pPr>
      <w:r>
        <w:rPr>
          <w:rFonts w:ascii="黑体" w:hAnsi="黑体" w:eastAsia="黑体" w:cs="新宋体"/>
          <w:spacing w:val="-10"/>
          <w:sz w:val="28"/>
          <w:szCs w:val="28"/>
        </w:rPr>
        <w:t>附</w:t>
      </w:r>
      <w:r>
        <w:rPr>
          <w:rFonts w:ascii="黑体" w:hAnsi="黑体" w:eastAsia="黑体" w:cs="新宋体"/>
          <w:spacing w:val="-8"/>
          <w:sz w:val="28"/>
          <w:szCs w:val="28"/>
        </w:rPr>
        <w:t>件</w:t>
      </w:r>
      <w:r>
        <w:rPr>
          <w:rFonts w:hint="eastAsia" w:ascii="黑体" w:hAnsi="黑体" w:eastAsia="黑体" w:cs="新宋体"/>
          <w:spacing w:val="-8"/>
          <w:sz w:val="28"/>
          <w:szCs w:val="28"/>
        </w:rPr>
        <w:t>3</w:t>
      </w:r>
    </w:p>
    <w:p>
      <w:pPr>
        <w:spacing w:before="44" w:line="207" w:lineRule="auto"/>
        <w:rPr>
          <w:rFonts w:ascii="黑体" w:hAnsi="黑体" w:eastAsia="黑体" w:cs="新宋体"/>
          <w:sz w:val="24"/>
          <w:szCs w:val="24"/>
        </w:rPr>
      </w:pPr>
    </w:p>
    <w:p>
      <w:pPr>
        <w:widowControl w:val="0"/>
        <w:kinsoku/>
        <w:autoSpaceDE/>
        <w:autoSpaceDN/>
        <w:spacing w:line="480" w:lineRule="exact"/>
        <w:jc w:val="center"/>
        <w:textAlignment w:val="auto"/>
        <w:rPr>
          <w:rFonts w:ascii="黑体" w:hAnsi="黑体" w:eastAsia="黑体" w:cs="宋体"/>
          <w:snapToGrid/>
          <w:color w:val="auto"/>
          <w:spacing w:val="-12"/>
          <w:kern w:val="2"/>
          <w:sz w:val="44"/>
          <w:szCs w:val="28"/>
        </w:rPr>
      </w:pPr>
      <w:r>
        <w:rPr>
          <w:rFonts w:hint="eastAsia" w:ascii="黑体" w:hAnsi="黑体" w:eastAsia="黑体" w:cs="宋体"/>
          <w:snapToGrid/>
          <w:color w:val="auto"/>
          <w:spacing w:val="-12"/>
          <w:kern w:val="2"/>
          <w:sz w:val="44"/>
          <w:szCs w:val="28"/>
        </w:rPr>
        <w:t>扬州市市</w:t>
      </w:r>
      <w:r>
        <w:rPr>
          <w:rFonts w:ascii="黑体" w:hAnsi="黑体" w:eastAsia="黑体" w:cs="宋体"/>
          <w:snapToGrid/>
          <w:color w:val="auto"/>
          <w:spacing w:val="-12"/>
          <w:kern w:val="2"/>
          <w:sz w:val="44"/>
          <w:szCs w:val="28"/>
        </w:rPr>
        <w:t>级部门整体绩效自评价</w:t>
      </w:r>
      <w:r>
        <w:rPr>
          <w:rFonts w:hint="eastAsia" w:ascii="黑体" w:hAnsi="黑体" w:eastAsia="黑体" w:cs="宋体"/>
          <w:snapToGrid/>
          <w:color w:val="auto"/>
          <w:spacing w:val="-12"/>
          <w:kern w:val="2"/>
          <w:sz w:val="44"/>
          <w:szCs w:val="28"/>
          <w:lang w:eastAsia="zh-CN"/>
        </w:rPr>
        <w:t>情况</w:t>
      </w:r>
      <w:r>
        <w:rPr>
          <w:rFonts w:ascii="黑体" w:hAnsi="黑体" w:eastAsia="黑体" w:cs="宋体"/>
          <w:snapToGrid/>
          <w:color w:val="auto"/>
          <w:spacing w:val="-12"/>
          <w:kern w:val="2"/>
          <w:sz w:val="44"/>
          <w:szCs w:val="28"/>
        </w:rPr>
        <w:t>表</w:t>
      </w:r>
    </w:p>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2023年度</w:t>
      </w:r>
    </w:p>
    <w:p>
      <w:pPr>
        <w:widowControl w:val="0"/>
        <w:kinsoku/>
        <w:autoSpaceDE/>
        <w:autoSpaceDN/>
        <w:spacing w:line="240" w:lineRule="exact"/>
        <w:textAlignment w:val="auto"/>
        <w:rPr>
          <w:rFonts w:ascii="宋体" w:hAnsi="宋体" w:eastAsia="宋体" w:cs="宋体"/>
          <w:snapToGrid/>
          <w:color w:val="auto"/>
          <w:spacing w:val="-12"/>
          <w:kern w:val="2"/>
        </w:rPr>
      </w:pPr>
    </w:p>
    <w:tbl>
      <w:tblPr>
        <w:tblStyle w:val="4"/>
        <w:tblW w:w="10361" w:type="dxa"/>
        <w:jc w:val="center"/>
        <w:shd w:val="clear" w:color="auto" w:fill="auto"/>
        <w:tblLayout w:type="autofit"/>
        <w:tblCellMar>
          <w:top w:w="0" w:type="dxa"/>
          <w:left w:w="0" w:type="dxa"/>
          <w:bottom w:w="0" w:type="dxa"/>
          <w:right w:w="0" w:type="dxa"/>
        </w:tblCellMar>
      </w:tblPr>
      <w:tblGrid>
        <w:gridCol w:w="1547"/>
        <w:gridCol w:w="8814"/>
      </w:tblGrid>
      <w:tr>
        <w:tblPrEx>
          <w:shd w:val="clear" w:color="auto" w:fill="auto"/>
          <w:tblCellMar>
            <w:top w:w="0" w:type="dxa"/>
            <w:left w:w="0" w:type="dxa"/>
            <w:bottom w:w="0" w:type="dxa"/>
            <w:right w:w="0" w:type="dxa"/>
          </w:tblCellMar>
        </w:tblPrEx>
        <w:trPr>
          <w:trHeight w:val="520" w:hRule="atLeast"/>
          <w:jc w:val="center"/>
        </w:trPr>
        <w:tc>
          <w:tcPr>
            <w:tcW w:w="1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填报单位：</w:t>
            </w:r>
          </w:p>
        </w:tc>
        <w:tc>
          <w:tcPr>
            <w:tcW w:w="8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扬州市木偶研究所</w:t>
            </w:r>
          </w:p>
        </w:tc>
      </w:tr>
      <w:tr>
        <w:tblPrEx>
          <w:shd w:val="clear" w:color="auto" w:fill="auto"/>
          <w:tblCellMar>
            <w:top w:w="0" w:type="dxa"/>
            <w:left w:w="0" w:type="dxa"/>
            <w:bottom w:w="0" w:type="dxa"/>
            <w:right w:w="0" w:type="dxa"/>
          </w:tblCellMar>
        </w:tblPrEx>
        <w:trPr>
          <w:trHeight w:val="38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部门整体自评情况</w:t>
            </w:r>
          </w:p>
        </w:tc>
      </w:tr>
      <w:tr>
        <w:tblPrEx>
          <w:shd w:val="clear" w:color="auto" w:fill="auto"/>
          <w:tblCellMar>
            <w:top w:w="0" w:type="dxa"/>
            <w:left w:w="0" w:type="dxa"/>
            <w:bottom w:w="0" w:type="dxa"/>
            <w:right w:w="0" w:type="dxa"/>
          </w:tblCellMar>
        </w:tblPrEx>
        <w:trPr>
          <w:trHeight w:val="60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一、部门概况（部门基本情况、收支情况等）</w:t>
            </w:r>
          </w:p>
        </w:tc>
      </w:tr>
      <w:tr>
        <w:tblPrEx>
          <w:shd w:val="clear" w:color="auto" w:fill="auto"/>
          <w:tblCellMar>
            <w:top w:w="0" w:type="dxa"/>
            <w:left w:w="0" w:type="dxa"/>
            <w:bottom w:w="0" w:type="dxa"/>
            <w:right w:w="0" w:type="dxa"/>
          </w:tblCellMar>
        </w:tblPrEx>
        <w:trPr>
          <w:trHeight w:val="2025"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一</w:t>
            </w:r>
            <w:r>
              <w:rPr>
                <w:rFonts w:hint="eastAsia" w:ascii="宋体" w:hAnsi="宋体" w:eastAsia="宋体" w:cs="宋体"/>
                <w:i w:val="0"/>
                <w:color w:val="000000"/>
                <w:sz w:val="20"/>
                <w:szCs w:val="20"/>
                <w:u w:val="none"/>
              </w:rPr>
              <w:t>、主要职能</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一）承担国家级非遗项目“杖头木偶戏”的保护传承与发展。（二）承担木偶剧（节）目的创作及演出。（三）承担木偶造型、戏剧服饰、道具布景等设计制作。（四）承担木偶剧（节）目的文化交流、赛事会展等。（五）培养扬州木偶表演及制作人才，打造扬州木偶传承梯队，（六）完成扬州市文化广电和旅游局交办的其他任务。</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二、单位机构设置及预算单位构成情况</w:t>
            </w:r>
          </w:p>
          <w:p>
            <w:pPr>
              <w:ind w:firstLine="400" w:firstLineChars="200"/>
              <w:jc w:val="left"/>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根据单位职责分工，本单位内设机构包括：办公室、财务室、创作研究部、展演部、市场部、制作部。本单位无下属单位。</w:t>
            </w:r>
          </w:p>
          <w:p>
            <w:pPr>
              <w:numPr>
                <w:ilvl w:val="0"/>
                <w:numId w:val="1"/>
              </w:numPr>
              <w:jc w:val="left"/>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人员配置</w:t>
            </w:r>
          </w:p>
          <w:p>
            <w:pPr>
              <w:numPr>
                <w:ilvl w:val="0"/>
                <w:numId w:val="0"/>
              </w:numPr>
              <w:ind w:firstLine="400" w:firstLineChars="200"/>
              <w:jc w:val="left"/>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2023年年末实有人数81人（不含遗属人员），较2022年年末增人2人，减少3人，变动情况及原因如下：在职人员减少1人。原因：在职在编人员退休3名，调入1名，招考录用1名。退休人员增加2人。原因在职在编人员退休3人，退休人员去世1名</w:t>
            </w:r>
            <w:r>
              <w:rPr>
                <w:rFonts w:hint="eastAsia" w:ascii="宋体" w:hAnsi="宋体" w:eastAsia="宋体" w:cs="宋体"/>
                <w:i w:val="0"/>
                <w:color w:val="000000"/>
                <w:sz w:val="20"/>
                <w:szCs w:val="20"/>
                <w:u w:val="none"/>
                <w:lang w:eastAsia="zh-CN"/>
              </w:rPr>
              <w:t>。</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四、2023年收支情况</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2023年收入总额2405.41 万元，其中，财政拨款收入 2081.39万元，占本年收入86.53%，事业收入260万元，占全年收入10.81%，其他收入 64.02万元，占全年收入2.66%。</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2023年总支出2405.41 万元，按支出性质分：基本支出：1963.05万元，占年度总支出81.61%，项目支出442.36 万元，占全年支出18.39%，按支出经济分类：工资福利支出 1743.3万元，占总支出72.47%；商品和服务支出513.46万元，占全年支出21.35%；对个人和家庭补助支出148.63万元，占全年支出6.18%。</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五、预算管理</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单位不断强化预算意识，实行部门综合预算管理，结合单位业务情况，进行科学合理安排支出，降低预算支出的波动幅度。加强对预算执行过程的控制和结果的反馈，对预算执行差异及时分析成因和影响，以采取措施纠正执行偏差，促进预算目标的全面完成。</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六、项目管理</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我单位对专项资金的分配、使用和管理按照专款专用、独立核算；统一支付、严格把关；跟踪问效、责任追究的原则进行管理。项目支出均按照有关规章制度和项目实施完成情况进行支付。并建立相关的管理制度，有专人负责，项目进行前进行集体研究讨论，项目进行时有负责人及时跟踪项目实施情况，并及时提出意见和建议。</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其、政府采购</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本年度政府采购支出金额为5万元.为支付扬州市扬子江投资发展集团现代物业管理有限公司物业管理费，采购类型为：定点采购。</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8、资产管理</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建立健全资产管理制度，由单位一把手负总责，具体到单位资产的采购、分配、清查，以及资产使用、维护过程中的监督任务。办公室负责资产的日常管理工作，包括资产的登记、统计、维护、保管等，并对所管资产的安全完整负有职责，资产管理人员相对稳定。资产管理由财务部门进行价值核算；办公设备由办公室设置专人进行实物卡片管理及使用状况监督。资产采购根据合同、供应商发货单等对所购资产的品种、规格、数量、质量、技术要求及其他资料进行验收。我单位通过资产云系统严格管理资产卡片，包括卡片的增加、删除、查询、打印、汇总等。正确、全面、及时地记录资产的增加、减少、使用等状况，保护固定资产资料安全完整。真实地反映和监督资产的增减变动和实际状况，建立健全了资产账簿体系。</w:t>
            </w:r>
          </w:p>
          <w:p>
            <w:pPr>
              <w:keepNext w:val="0"/>
              <w:keepLines w:val="0"/>
              <w:widowControl/>
              <w:numPr>
                <w:ilvl w:val="0"/>
                <w:numId w:val="0"/>
              </w:numPr>
              <w:suppressLineNumbers w:val="0"/>
              <w:ind w:leftChars="0"/>
              <w:jc w:val="left"/>
              <w:textAlignment w:val="center"/>
              <w:rPr>
                <w:rFonts w:hint="default" w:ascii="宋体" w:hAnsi="宋体" w:eastAsia="宋体" w:cs="宋体"/>
                <w:i w:val="0"/>
                <w:color w:val="000000"/>
                <w:sz w:val="20"/>
                <w:szCs w:val="20"/>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p>
        </w:tc>
      </w:tr>
      <w:tr>
        <w:tblPrEx>
          <w:shd w:val="clear" w:color="auto" w:fill="auto"/>
          <w:tblCellMar>
            <w:top w:w="0" w:type="dxa"/>
            <w:left w:w="0" w:type="dxa"/>
            <w:bottom w:w="0" w:type="dxa"/>
            <w:right w:w="0" w:type="dxa"/>
          </w:tblCellMar>
        </w:tblPrEx>
        <w:trPr>
          <w:trHeight w:val="60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二、主要绩效（通过绩效评价发现并总结的部门整体支出绩效）</w:t>
            </w:r>
          </w:p>
        </w:tc>
      </w:tr>
      <w:tr>
        <w:tblPrEx>
          <w:shd w:val="clear" w:color="auto" w:fill="auto"/>
          <w:tblCellMar>
            <w:top w:w="0" w:type="dxa"/>
            <w:left w:w="0" w:type="dxa"/>
            <w:bottom w:w="0" w:type="dxa"/>
            <w:right w:w="0" w:type="dxa"/>
          </w:tblCellMar>
        </w:tblPrEx>
        <w:trPr>
          <w:trHeight w:val="2109"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1、项目经济性方面：严格控制了项目成本，资金的支付符合国家财经法规和财务管理制度规定，以及有关专项资金管理办法的规定；资金拨付有完整的审批程序和手续；经费支出符合部门预算批复的用途；无截留、挪用、虚列支出等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2、项目效率性方面：所有项目严格按照合同要求推进进度，演出活动质量达到要求。</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3、项目有效性方面：充分发挥了艺术院团的优势，积极组织开展形式多样、内容丰富的公共文化活动。通过举办一系列丰富多彩的群众文化活动</w:t>
            </w:r>
            <w:r>
              <w:rPr>
                <w:rFonts w:hint="eastAsia" w:ascii="宋体" w:hAnsi="宋体" w:eastAsia="宋体" w:cs="宋体"/>
                <w:i w:val="0"/>
                <w:color w:val="000000"/>
                <w:sz w:val="20"/>
                <w:szCs w:val="20"/>
                <w:u w:val="none"/>
                <w:lang w:eastAsia="zh-CN"/>
              </w:rPr>
              <w:t>特别是第六届木偶皮影展演</w:t>
            </w:r>
            <w:r>
              <w:rPr>
                <w:rFonts w:hint="eastAsia" w:ascii="宋体" w:hAnsi="宋体" w:eastAsia="宋体" w:cs="宋体"/>
                <w:i w:val="0"/>
                <w:color w:val="000000"/>
                <w:sz w:val="20"/>
                <w:szCs w:val="20"/>
                <w:u w:val="none"/>
              </w:rPr>
              <w:t>，进一步丰富了广大市民群众的精神文化生活，受到了社会各界的高度赞誉和好评。</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4、项目可持续性发展方面：所有项目均落实到人，由专门部门负责，从而确保项目的前期阶段、准备阶段、实施阶段和运行阶段形成可持续的循环，保证既定目标按期实现。</w:t>
            </w:r>
          </w:p>
        </w:tc>
      </w:tr>
      <w:tr>
        <w:tblPrEx>
          <w:shd w:val="clear" w:color="auto" w:fill="auto"/>
          <w:tblCellMar>
            <w:top w:w="0" w:type="dxa"/>
            <w:left w:w="0" w:type="dxa"/>
            <w:bottom w:w="0" w:type="dxa"/>
            <w:right w:w="0" w:type="dxa"/>
          </w:tblCellMar>
        </w:tblPrEx>
        <w:trPr>
          <w:trHeight w:val="60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三、存在问题（通过绩效评价所发现的问题）</w:t>
            </w:r>
          </w:p>
        </w:tc>
      </w:tr>
      <w:tr>
        <w:tblPrEx>
          <w:shd w:val="clear" w:color="auto" w:fill="auto"/>
          <w:tblCellMar>
            <w:top w:w="0" w:type="dxa"/>
            <w:left w:w="0" w:type="dxa"/>
            <w:bottom w:w="0" w:type="dxa"/>
            <w:right w:w="0" w:type="dxa"/>
          </w:tblCellMar>
        </w:tblPrEx>
        <w:trPr>
          <w:trHeight w:val="1769"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rPr>
              <w:t>1、决策方面存在问题：预算编制不够精细。</w:t>
            </w:r>
            <w:r>
              <w:rPr>
                <w:rFonts w:hint="eastAsia" w:ascii="宋体" w:hAnsi="宋体" w:eastAsia="宋体" w:cs="宋体"/>
                <w:i w:val="0"/>
                <w:color w:val="000000"/>
                <w:sz w:val="20"/>
                <w:szCs w:val="20"/>
                <w:u w:val="none"/>
                <w:lang w:eastAsia="zh-CN"/>
              </w:rPr>
              <w:t>在以后工作中，</w:t>
            </w:r>
            <w:r>
              <w:rPr>
                <w:rFonts w:hint="default" w:ascii="宋体" w:hAnsi="宋体" w:eastAsia="宋体" w:cs="宋体"/>
                <w:i w:val="0"/>
                <w:color w:val="000000"/>
                <w:sz w:val="20"/>
                <w:szCs w:val="20"/>
                <w:u w:val="none"/>
                <w:lang w:val="en-US" w:eastAsia="zh-CN"/>
              </w:rPr>
              <w:t>我单位将进一步强化对绩效管理的认识，高度重视绩效目标编制工作。绩效指标设置遵循突出重点、细化、量化和合理可行的原则</w:t>
            </w:r>
            <w:r>
              <w:rPr>
                <w:rFonts w:hint="eastAsia" w:ascii="宋体" w:hAnsi="宋体" w:eastAsia="宋体" w:cs="宋体"/>
                <w:i w:val="0"/>
                <w:color w:val="000000"/>
                <w:sz w:val="20"/>
                <w:szCs w:val="20"/>
                <w:u w:val="none"/>
                <w:lang w:val="en-US" w:eastAsia="zh-CN"/>
              </w:rPr>
              <w:t>。</w:t>
            </w:r>
          </w:p>
          <w:p>
            <w:pPr>
              <w:rPr>
                <w:rFonts w:hint="default" w:ascii="宋体" w:hAnsi="宋体" w:eastAsia="宋体" w:cs="宋体"/>
                <w:i w:val="0"/>
                <w:color w:val="000000"/>
                <w:sz w:val="20"/>
                <w:szCs w:val="20"/>
                <w:u w:val="none"/>
                <w:lang w:val="en-US" w:eastAsia="zh-CN"/>
              </w:rPr>
            </w:pPr>
            <w:r>
              <w:rPr>
                <w:rFonts w:hint="eastAsia"/>
              </w:rPr>
              <w:t>2、过</w:t>
            </w:r>
            <w:r>
              <w:rPr>
                <w:rFonts w:hint="eastAsia" w:ascii="宋体" w:hAnsi="宋体" w:eastAsia="宋体" w:cs="宋体"/>
                <w:i w:val="0"/>
                <w:color w:val="000000"/>
                <w:sz w:val="20"/>
                <w:szCs w:val="20"/>
                <w:u w:val="none"/>
              </w:rPr>
              <w:t>程方面存在问题</w:t>
            </w:r>
            <w:r>
              <w:rPr>
                <w:rFonts w:hint="eastAsia" w:ascii="宋体" w:hAnsi="宋体" w:eastAsia="宋体" w:cs="宋体"/>
                <w:i w:val="0"/>
                <w:color w:val="000000"/>
                <w:sz w:val="20"/>
                <w:szCs w:val="20"/>
                <w:u w:val="none"/>
                <w:lang w:val="en-US" w:eastAsia="zh-CN"/>
              </w:rPr>
              <w:t>:单位将合理测算项目资金需求，提高预决算编制管理水平；强化资产管理意识，改进资产管理；进一步加强专项资金事业，坚持专款专用。</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3、履职方面存在问题：因我所为差额拨款事业单位，只享受财政75%的人员经费补助，无公用经费拨款，近年来由于工作需要，新增人员不断增加，每年仅有的专户管理非税收入已难以满足25%人员经费和日常公用经费的全额开支，艺术创作项目经费也严重不足。</w:t>
            </w:r>
          </w:p>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4.效益方面存在问题：</w:t>
            </w:r>
            <w:r>
              <w:rPr>
                <w:rFonts w:hint="eastAsia" w:ascii="宋体" w:hAnsi="宋体" w:eastAsia="宋体" w:cs="宋体"/>
                <w:i w:val="0"/>
                <w:color w:val="000000"/>
                <w:sz w:val="20"/>
                <w:szCs w:val="20"/>
                <w:u w:val="none"/>
                <w:lang w:eastAsia="zh-CN"/>
              </w:rPr>
              <w:t>由于国家大剧院档期的原因，导致我单位大型木偶剧《哪吒传奇》年初预算在</w:t>
            </w:r>
            <w:r>
              <w:rPr>
                <w:rFonts w:hint="eastAsia" w:ascii="宋体" w:hAnsi="宋体" w:eastAsia="宋体" w:cs="宋体"/>
                <w:i w:val="0"/>
                <w:color w:val="000000"/>
                <w:sz w:val="20"/>
                <w:szCs w:val="20"/>
                <w:u w:val="none"/>
                <w:lang w:val="en-US" w:eastAsia="zh-CN"/>
              </w:rPr>
              <w:t>2023年度演出</w:t>
            </w:r>
            <w:r>
              <w:rPr>
                <w:rFonts w:hint="eastAsia" w:ascii="宋体" w:hAnsi="宋体" w:eastAsia="宋体" w:cs="宋体"/>
                <w:i w:val="0"/>
                <w:color w:val="000000"/>
                <w:sz w:val="20"/>
                <w:szCs w:val="20"/>
                <w:u w:val="none"/>
                <w:lang w:eastAsia="zh-CN"/>
              </w:rPr>
              <w:t>，延期至</w:t>
            </w:r>
            <w:r>
              <w:rPr>
                <w:rFonts w:hint="eastAsia" w:ascii="宋体" w:hAnsi="宋体" w:eastAsia="宋体" w:cs="宋体"/>
                <w:i w:val="0"/>
                <w:color w:val="000000"/>
                <w:sz w:val="20"/>
                <w:szCs w:val="20"/>
                <w:u w:val="none"/>
                <w:lang w:val="en-US" w:eastAsia="zh-CN"/>
              </w:rPr>
              <w:t>2024年2月24日。</w:t>
            </w:r>
          </w:p>
          <w:p>
            <w:pPr>
              <w:keepNext w:val="0"/>
              <w:keepLines w:val="0"/>
              <w:widowControl/>
              <w:suppressLineNumbers w:val="0"/>
              <w:jc w:val="left"/>
              <w:textAlignment w:val="center"/>
              <w:rPr>
                <w:rFonts w:hint="eastAsia" w:ascii="宋体" w:hAnsi="宋体" w:eastAsia="宋体" w:cs="宋体"/>
                <w:i w:val="0"/>
                <w:color w:val="000000"/>
                <w:sz w:val="20"/>
                <w:szCs w:val="20"/>
                <w:u w:val="none"/>
                <w:lang w:val="en-US" w:eastAsia="zh-CN"/>
              </w:rPr>
            </w:pPr>
          </w:p>
        </w:tc>
      </w:tr>
      <w:tr>
        <w:tblPrEx>
          <w:shd w:val="clear" w:color="auto" w:fill="auto"/>
          <w:tblCellMar>
            <w:top w:w="0" w:type="dxa"/>
            <w:left w:w="0" w:type="dxa"/>
            <w:bottom w:w="0" w:type="dxa"/>
            <w:right w:w="0" w:type="dxa"/>
          </w:tblCellMar>
        </w:tblPrEx>
        <w:trPr>
          <w:trHeight w:val="60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四、有关建议（针对存在的问题，分别提出相关完善或整改建议）</w:t>
            </w:r>
          </w:p>
        </w:tc>
      </w:tr>
      <w:tr>
        <w:tblPrEx>
          <w:shd w:val="clear" w:color="auto" w:fill="auto"/>
          <w:tblCellMar>
            <w:top w:w="0" w:type="dxa"/>
            <w:left w:w="0" w:type="dxa"/>
            <w:bottom w:w="0" w:type="dxa"/>
            <w:right w:w="0" w:type="dxa"/>
          </w:tblCellMar>
        </w:tblPrEx>
        <w:trPr>
          <w:trHeight w:val="2300" w:hRule="atLeast"/>
          <w:jc w:val="center"/>
        </w:trPr>
        <w:tc>
          <w:tcPr>
            <w:tcW w:w="103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1、在决策和过程方面：细化预算编制工作，认真做好预算的编制。根据年度内单位可预见的工作任务，确定单位年度预算目标，科学合理编制部门预算，推进预算编制科学化、准确化。年度预算编制后，根据实际情况，定期做好预算执行分析，掌握预算执行进度，及时找出预算实际执行情况与预算目标之间存在的差距，纠正偏差，为科学、准确地编制部门预算积累经验。</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2、在履职方面</w:t>
            </w:r>
            <w:r>
              <w:rPr>
                <w:rFonts w:hint="eastAsia" w:ascii="宋体" w:hAnsi="宋体" w:eastAsia="宋体" w:cs="宋体"/>
                <w:i w:val="0"/>
                <w:color w:val="000000"/>
                <w:sz w:val="20"/>
                <w:szCs w:val="20"/>
                <w:u w:val="none"/>
                <w:lang w:val="en-US" w:eastAsia="zh-CN"/>
              </w:rPr>
              <w:t>:</w:t>
            </w:r>
            <w:r>
              <w:rPr>
                <w:rFonts w:hint="eastAsia" w:ascii="宋体" w:hAnsi="宋体" w:eastAsia="宋体" w:cs="宋体"/>
                <w:i w:val="0"/>
                <w:color w:val="000000"/>
                <w:sz w:val="20"/>
                <w:szCs w:val="20"/>
                <w:u w:val="none"/>
              </w:rPr>
              <w:t>在确保单位各项工作正常运行的同时，能进一步激发职工的工作热情，从而为国家级非物质文化遗产—扬州</w:t>
            </w:r>
            <w:r>
              <w:rPr>
                <w:rFonts w:hint="eastAsia" w:ascii="宋体" w:hAnsi="宋体" w:eastAsia="宋体" w:cs="宋体"/>
                <w:i w:val="0"/>
                <w:color w:val="000000"/>
                <w:sz w:val="20"/>
                <w:szCs w:val="20"/>
                <w:u w:val="none"/>
                <w:lang w:eastAsia="zh-CN"/>
              </w:rPr>
              <w:t>杖头木偶</w:t>
            </w:r>
            <w:r>
              <w:rPr>
                <w:rFonts w:hint="eastAsia" w:ascii="宋体" w:hAnsi="宋体" w:eastAsia="宋体" w:cs="宋体"/>
                <w:i w:val="0"/>
                <w:color w:val="000000"/>
                <w:sz w:val="20"/>
                <w:szCs w:val="20"/>
                <w:u w:val="none"/>
              </w:rPr>
              <w:t>传承、传播和保护作出新的更大的贡献。</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rPr>
              <w:t>3、在效益方面：我单位会持续推进惠民演出，提高公共服务供给的质量和财政资金的使用效率，给广大社区</w:t>
            </w:r>
            <w:r>
              <w:rPr>
                <w:rFonts w:hint="eastAsia" w:ascii="宋体" w:hAnsi="宋体" w:eastAsia="宋体" w:cs="宋体"/>
                <w:i w:val="0"/>
                <w:color w:val="000000"/>
                <w:sz w:val="20"/>
                <w:szCs w:val="20"/>
                <w:u w:val="none"/>
                <w:lang w:eastAsia="zh-CN"/>
              </w:rPr>
              <w:t>市</w:t>
            </w:r>
            <w:r>
              <w:rPr>
                <w:rFonts w:hint="eastAsia" w:ascii="宋体" w:hAnsi="宋体" w:eastAsia="宋体" w:cs="宋体"/>
                <w:i w:val="0"/>
                <w:color w:val="000000"/>
                <w:sz w:val="20"/>
                <w:szCs w:val="20"/>
                <w:u w:val="none"/>
              </w:rPr>
              <w:t>民送去精神文化大餐。</w:t>
            </w:r>
          </w:p>
        </w:tc>
      </w:tr>
    </w:tbl>
    <w:p>
      <w:pPr>
        <w:widowControl w:val="0"/>
        <w:kinsoku/>
        <w:autoSpaceDE/>
        <w:autoSpaceDN/>
        <w:spacing w:line="240" w:lineRule="auto"/>
        <w:textAlignment w:val="auto"/>
        <w:rPr>
          <w:rFonts w:hint="eastAsia" w:ascii="方正楷体_GBK" w:hAnsi="楷体" w:eastAsia="方正楷体_GBK" w:cs="楷体"/>
          <w:spacing w:val="4"/>
          <w:sz w:val="32"/>
          <w:szCs w:val="32"/>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roman"/>
    <w:pitch w:val="default"/>
    <w:sig w:usb0="00000003" w:usb1="288F0000" w:usb2="00000006" w:usb3="00000000" w:csb0="00040001"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1730"/>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72091"/>
    <w:multiLevelType w:val="singleLevel"/>
    <w:tmpl w:val="3697209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zYjU1OWZiZWU3OTg5OGVmZGI3NzdlNTAyMzQ5MDkifQ=="/>
  </w:docVars>
  <w:rsids>
    <w:rsidRoot w:val="00EC6C76"/>
    <w:rsid w:val="00061954"/>
    <w:rsid w:val="000D0A1B"/>
    <w:rsid w:val="000D2CC1"/>
    <w:rsid w:val="000F3229"/>
    <w:rsid w:val="000F3A20"/>
    <w:rsid w:val="00125414"/>
    <w:rsid w:val="00180853"/>
    <w:rsid w:val="001F39BB"/>
    <w:rsid w:val="0020755B"/>
    <w:rsid w:val="002C47C8"/>
    <w:rsid w:val="002D7C6C"/>
    <w:rsid w:val="002F6608"/>
    <w:rsid w:val="003618AD"/>
    <w:rsid w:val="00375DA0"/>
    <w:rsid w:val="0039785E"/>
    <w:rsid w:val="003B796E"/>
    <w:rsid w:val="003E499C"/>
    <w:rsid w:val="00433498"/>
    <w:rsid w:val="004F3282"/>
    <w:rsid w:val="005A03C5"/>
    <w:rsid w:val="005B189A"/>
    <w:rsid w:val="005B3D40"/>
    <w:rsid w:val="005F21B2"/>
    <w:rsid w:val="00625A68"/>
    <w:rsid w:val="00634083"/>
    <w:rsid w:val="00646AAE"/>
    <w:rsid w:val="006916CC"/>
    <w:rsid w:val="006B1CA2"/>
    <w:rsid w:val="006D2DFA"/>
    <w:rsid w:val="006D76A2"/>
    <w:rsid w:val="00714363"/>
    <w:rsid w:val="00722D06"/>
    <w:rsid w:val="00733EAA"/>
    <w:rsid w:val="00766124"/>
    <w:rsid w:val="007735FC"/>
    <w:rsid w:val="007828C5"/>
    <w:rsid w:val="00791CB4"/>
    <w:rsid w:val="007967C9"/>
    <w:rsid w:val="00815108"/>
    <w:rsid w:val="00843886"/>
    <w:rsid w:val="0086141E"/>
    <w:rsid w:val="00864C98"/>
    <w:rsid w:val="008710FE"/>
    <w:rsid w:val="008C609E"/>
    <w:rsid w:val="008C75B2"/>
    <w:rsid w:val="0091613F"/>
    <w:rsid w:val="00920203"/>
    <w:rsid w:val="00952781"/>
    <w:rsid w:val="009529D4"/>
    <w:rsid w:val="009543BE"/>
    <w:rsid w:val="00992D9D"/>
    <w:rsid w:val="009C3FD2"/>
    <w:rsid w:val="009D52DD"/>
    <w:rsid w:val="009F4C2E"/>
    <w:rsid w:val="00A33581"/>
    <w:rsid w:val="00A440E4"/>
    <w:rsid w:val="00A53217"/>
    <w:rsid w:val="00AB056A"/>
    <w:rsid w:val="00AB2FEA"/>
    <w:rsid w:val="00AB394F"/>
    <w:rsid w:val="00B076F2"/>
    <w:rsid w:val="00B234B5"/>
    <w:rsid w:val="00B566EA"/>
    <w:rsid w:val="00B95744"/>
    <w:rsid w:val="00BA06E8"/>
    <w:rsid w:val="00BA522C"/>
    <w:rsid w:val="00BC4783"/>
    <w:rsid w:val="00BD0913"/>
    <w:rsid w:val="00BD3B33"/>
    <w:rsid w:val="00BF06A5"/>
    <w:rsid w:val="00BF2F70"/>
    <w:rsid w:val="00C23BD1"/>
    <w:rsid w:val="00CC1FDF"/>
    <w:rsid w:val="00CE5D1C"/>
    <w:rsid w:val="00D05F7F"/>
    <w:rsid w:val="00D371F3"/>
    <w:rsid w:val="00D7640F"/>
    <w:rsid w:val="00DA3D79"/>
    <w:rsid w:val="00DB727B"/>
    <w:rsid w:val="00DC361B"/>
    <w:rsid w:val="00DC4A8B"/>
    <w:rsid w:val="00E05CB0"/>
    <w:rsid w:val="00E36B3E"/>
    <w:rsid w:val="00E66924"/>
    <w:rsid w:val="00E72FA9"/>
    <w:rsid w:val="00EB7EFF"/>
    <w:rsid w:val="00EC6C76"/>
    <w:rsid w:val="00F9229A"/>
    <w:rsid w:val="00FB125D"/>
    <w:rsid w:val="00FD6403"/>
    <w:rsid w:val="00FE0AD7"/>
    <w:rsid w:val="09B4587D"/>
    <w:rsid w:val="0A7206D8"/>
    <w:rsid w:val="0D06756B"/>
    <w:rsid w:val="13AF584E"/>
    <w:rsid w:val="21076BB1"/>
    <w:rsid w:val="42DE7BFD"/>
    <w:rsid w:val="46F3082A"/>
    <w:rsid w:val="57B520C3"/>
    <w:rsid w:val="5D89285D"/>
    <w:rsid w:val="609C7CFC"/>
    <w:rsid w:val="63AE0F1B"/>
    <w:rsid w:val="650B1255"/>
    <w:rsid w:val="6AF15732"/>
    <w:rsid w:val="6C271CFB"/>
    <w:rsid w:val="7C0413C3"/>
    <w:rsid w:val="BF9E7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cs="Arial" w:eastAsiaTheme="minorEastAsia"/>
      <w:snapToGrid w:val="0"/>
      <w:color w:val="000000"/>
      <w:kern w:val="0"/>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rPr>
      <w:rFonts w:ascii="Arial" w:hAnsi="Arial" w:cs="Arial"/>
      <w:snapToGrid w:val="0"/>
      <w:color w:val="000000"/>
      <w:kern w:val="0"/>
      <w:szCs w:val="21"/>
    </w:rPr>
    <w:tblPr>
      <w:tblCellMar>
        <w:top w:w="0" w:type="dxa"/>
        <w:left w:w="0" w:type="dxa"/>
        <w:bottom w:w="0" w:type="dxa"/>
        <w:right w:w="0" w:type="dxa"/>
      </w:tblCellMar>
    </w:tblPr>
  </w:style>
  <w:style w:type="character" w:customStyle="1" w:styleId="7">
    <w:name w:val="页眉 Char"/>
    <w:basedOn w:val="5"/>
    <w:link w:val="3"/>
    <w:semiHidden/>
    <w:qFormat/>
    <w:uiPriority w:val="99"/>
    <w:rPr>
      <w:rFonts w:ascii="Arial" w:hAnsi="Arial" w:cs="Arial"/>
      <w:snapToGrid w:val="0"/>
      <w:color w:val="000000"/>
      <w:kern w:val="0"/>
      <w:sz w:val="18"/>
      <w:szCs w:val="18"/>
    </w:rPr>
  </w:style>
  <w:style w:type="character" w:customStyle="1" w:styleId="8">
    <w:name w:val="页脚 Char"/>
    <w:basedOn w:val="5"/>
    <w:link w:val="2"/>
    <w:qFormat/>
    <w:uiPriority w:val="99"/>
    <w:rPr>
      <w:rFonts w:ascii="Arial" w:hAnsi="Arial" w:cs="Arial"/>
      <w:snapToGrid w:val="0"/>
      <w:color w:val="000000"/>
      <w:kern w:val="0"/>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360xt.cn</Company>
  <Pages>2</Pages>
  <Words>2286</Words>
  <Characters>2405</Characters>
  <Lines>40</Lines>
  <Paragraphs>11</Paragraphs>
  <TotalTime>2</TotalTime>
  <ScaleCrop>false</ScaleCrop>
  <LinksUpToDate>false</LinksUpToDate>
  <CharactersWithSpaces>2411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2023-02-16T15:52:00Z</dcterms:created>
  <dc:creator>李燕</dc:creator>
  <cp:lastModifiedBy>WPS_1682927818</cp:lastModifiedBy>
  <dcterms:modified xsi:type="dcterms:W3CDTF">2024-06-06T07:59:22Z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B5FEE353CA4A44939F0216AEAF2EB6D4_13</vt:lpwstr>
  </property>
</Properties>
</file>